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C63" w:rsidRDefault="00B865A6" w:rsidP="00FC06C2">
      <w:pPr>
        <w:spacing w:line="240" w:lineRule="auto"/>
        <w:jc w:val="both"/>
        <w:rPr>
          <w:rFonts w:ascii="Tahoma" w:hAnsi="Tahoma" w:cs="Tahoma"/>
          <w:b/>
          <w:color w:val="E36C0A" w:themeColor="accent6" w:themeShade="BF"/>
          <w:sz w:val="32"/>
        </w:rPr>
      </w:pPr>
      <w:r>
        <w:rPr>
          <w:rFonts w:ascii="Tahoma" w:hAnsi="Tahoma" w:cs="Tahoma"/>
          <w:b/>
          <w:color w:val="E36C0A" w:themeColor="accent6" w:themeShade="BF"/>
          <w:sz w:val="32"/>
        </w:rPr>
        <w:t>THIẾT LẬP THÔNG TIN CHUNG</w:t>
      </w:r>
      <w:r w:rsidR="0067520E" w:rsidRPr="00172166">
        <w:rPr>
          <w:rFonts w:ascii="Tahoma" w:hAnsi="Tahoma" w:cs="Tahoma"/>
          <w:b/>
          <w:color w:val="E36C0A" w:themeColor="accent6" w:themeShade="BF"/>
          <w:sz w:val="20"/>
        </w:rPr>
        <w:t xml:space="preserve"> </w:t>
      </w:r>
      <w:r w:rsidR="003B1EB7" w:rsidRPr="003B1EB7">
        <w:rPr>
          <w:rFonts w:ascii="Tahoma" w:hAnsi="Tahoma" w:cs="Tahoma"/>
          <w:b/>
          <w:color w:val="E36C0A" w:themeColor="accent6" w:themeShade="BF"/>
          <w:sz w:val="20"/>
        </w:rPr>
        <w:pict>
          <v:rect id="_x0000_i1025" style="width:468pt;height:2pt" o:hralign="center" o:hrstd="t" o:hrnoshade="t" o:hr="t" fillcolor="#31849b [2408]" stroked="f"/>
        </w:pict>
      </w:r>
    </w:p>
    <w:p w:rsidR="00C85C5D" w:rsidRDefault="009C3D04" w:rsidP="00F6655B">
      <w:pPr>
        <w:pStyle w:val="ListParagraph"/>
        <w:numPr>
          <w:ilvl w:val="0"/>
          <w:numId w:val="1"/>
        </w:numPr>
        <w:spacing w:line="360" w:lineRule="auto"/>
        <w:ind w:left="360"/>
        <w:jc w:val="both"/>
        <w:rPr>
          <w:rFonts w:ascii="Tahoma" w:hAnsi="Tahoma" w:cs="Tahoma"/>
        </w:rPr>
      </w:pPr>
      <w:r w:rsidRPr="00F6655B">
        <w:rPr>
          <w:rFonts w:ascii="Tahoma" w:hAnsi="Tahoma" w:cs="Tahoma"/>
          <w:b/>
          <w:color w:val="365F91" w:themeColor="accent1" w:themeShade="BF"/>
        </w:rPr>
        <w:t xml:space="preserve">Giới thiệu: </w:t>
      </w:r>
      <w:r w:rsidR="00B865A6">
        <w:rPr>
          <w:rFonts w:ascii="Tahoma" w:hAnsi="Tahoma" w:cs="Tahoma"/>
        </w:rPr>
        <w:t>Một số quy định chung cho phần mềm.</w:t>
      </w:r>
    </w:p>
    <w:p w:rsidR="00353E8D" w:rsidRDefault="008C5C70" w:rsidP="00147DC3">
      <w:pPr>
        <w:pStyle w:val="ListParagraph"/>
        <w:numPr>
          <w:ilvl w:val="0"/>
          <w:numId w:val="1"/>
        </w:numPr>
        <w:spacing w:line="360" w:lineRule="auto"/>
        <w:ind w:left="360"/>
        <w:jc w:val="both"/>
        <w:rPr>
          <w:rFonts w:ascii="Tahoma" w:hAnsi="Tahoma" w:cs="Tahoma"/>
          <w:b/>
          <w:color w:val="365F91" w:themeColor="accent1" w:themeShade="BF"/>
        </w:rPr>
      </w:pPr>
      <w:r w:rsidRPr="00147DC3">
        <w:rPr>
          <w:rFonts w:ascii="Tahoma" w:hAnsi="Tahoma" w:cs="Tahoma"/>
          <w:b/>
          <w:color w:val="365F91" w:themeColor="accent1" w:themeShade="BF"/>
        </w:rPr>
        <w:t>Hướng dẫn giao diện</w:t>
      </w:r>
      <w:r w:rsidR="005C3563" w:rsidRPr="00147DC3">
        <w:rPr>
          <w:rFonts w:ascii="Tahoma" w:hAnsi="Tahoma" w:cs="Tahoma"/>
          <w:b/>
          <w:color w:val="365F91" w:themeColor="accent1" w:themeShade="BF"/>
        </w:rPr>
        <w:t>:</w:t>
      </w:r>
      <w:r w:rsidR="00412ECF" w:rsidRPr="00147DC3">
        <w:rPr>
          <w:rFonts w:ascii="Tahoma" w:hAnsi="Tahoma" w:cs="Tahoma"/>
          <w:b/>
          <w:color w:val="365F91" w:themeColor="accent1" w:themeShade="BF"/>
        </w:rPr>
        <w:t xml:space="preserve"> </w:t>
      </w:r>
    </w:p>
    <w:p w:rsidR="00F842E6" w:rsidRDefault="00107174" w:rsidP="00F842E6">
      <w:pPr>
        <w:pStyle w:val="ListParagraph"/>
        <w:numPr>
          <w:ilvl w:val="1"/>
          <w:numId w:val="1"/>
        </w:numPr>
        <w:spacing w:line="360" w:lineRule="auto"/>
        <w:ind w:left="720"/>
        <w:jc w:val="both"/>
        <w:rPr>
          <w:rFonts w:ascii="Tahoma" w:hAnsi="Tahoma" w:cs="Tahoma"/>
        </w:rPr>
      </w:pPr>
      <w:r>
        <w:rPr>
          <w:rFonts w:ascii="Tahoma" w:hAnsi="Tahoma" w:cs="Tahoma"/>
        </w:rPr>
        <w:t>Đồng tiền hạch toán: Đồng tiền sử dụng để in báo cáo kế toán.</w:t>
      </w:r>
    </w:p>
    <w:p w:rsidR="00107174" w:rsidRDefault="00107174" w:rsidP="00F842E6">
      <w:pPr>
        <w:pStyle w:val="ListParagraph"/>
        <w:numPr>
          <w:ilvl w:val="1"/>
          <w:numId w:val="1"/>
        </w:numPr>
        <w:spacing w:line="360" w:lineRule="auto"/>
        <w:ind w:left="720"/>
        <w:jc w:val="both"/>
        <w:rPr>
          <w:rFonts w:ascii="Tahoma" w:hAnsi="Tahoma" w:cs="Tahoma"/>
        </w:rPr>
      </w:pPr>
      <w:r>
        <w:rPr>
          <w:rFonts w:ascii="Tahoma" w:hAnsi="Tahoma" w:cs="Tahoma"/>
        </w:rPr>
        <w:t>Hình thức hạch toán: Sử dụng khi doanh nghiệp có nhiều đơn vị con (Nhà máy, chi nhánh, cửa hàng,..)</w:t>
      </w:r>
    </w:p>
    <w:p w:rsidR="00107174" w:rsidRDefault="00107174" w:rsidP="00107174">
      <w:pPr>
        <w:pStyle w:val="ListParagraph"/>
        <w:numPr>
          <w:ilvl w:val="2"/>
          <w:numId w:val="1"/>
        </w:numPr>
        <w:spacing w:line="360" w:lineRule="auto"/>
        <w:ind w:left="1440"/>
        <w:jc w:val="both"/>
        <w:rPr>
          <w:rFonts w:ascii="Tahoma" w:hAnsi="Tahoma" w:cs="Tahoma"/>
        </w:rPr>
      </w:pPr>
      <w:r>
        <w:rPr>
          <w:rFonts w:ascii="Tahoma" w:hAnsi="Tahoma" w:cs="Tahoma"/>
        </w:rPr>
        <w:t>0 – Không có chi nhánh/đơn vị con</w:t>
      </w:r>
    </w:p>
    <w:p w:rsidR="00107174" w:rsidRDefault="00107174" w:rsidP="00107174">
      <w:pPr>
        <w:pStyle w:val="ListParagraph"/>
        <w:numPr>
          <w:ilvl w:val="2"/>
          <w:numId w:val="1"/>
        </w:numPr>
        <w:spacing w:line="360" w:lineRule="auto"/>
        <w:ind w:left="1440"/>
        <w:jc w:val="both"/>
        <w:rPr>
          <w:rFonts w:ascii="Tahoma" w:hAnsi="Tahoma" w:cs="Tahoma"/>
        </w:rPr>
      </w:pPr>
      <w:r>
        <w:rPr>
          <w:rFonts w:ascii="Tahoma" w:hAnsi="Tahoma" w:cs="Tahoma"/>
        </w:rPr>
        <w:t>1 – Hạch toán độc lập: Dữ liệu giữa các đơn vị con là độc lập, mọi giao dịch giữa các đơn vị con là như mọi 1 đối tượng khác (khách hàng, nhà cung cấp).</w:t>
      </w:r>
    </w:p>
    <w:p w:rsidR="00107174" w:rsidRDefault="00107174" w:rsidP="00107174">
      <w:pPr>
        <w:pStyle w:val="ListParagraph"/>
        <w:numPr>
          <w:ilvl w:val="2"/>
          <w:numId w:val="1"/>
        </w:numPr>
        <w:spacing w:line="360" w:lineRule="auto"/>
        <w:ind w:left="1440"/>
        <w:jc w:val="both"/>
        <w:rPr>
          <w:rFonts w:ascii="Tahoma" w:hAnsi="Tahoma" w:cs="Tahoma"/>
        </w:rPr>
      </w:pPr>
      <w:r>
        <w:rPr>
          <w:rFonts w:ascii="Tahoma" w:hAnsi="Tahoma" w:cs="Tahoma"/>
        </w:rPr>
        <w:t xml:space="preserve">2 – Hạch toán phụ thuộc: Dữ liệu giữa các đơn vị con là phụ thuộc </w:t>
      </w:r>
      <w:r w:rsidRPr="00107174">
        <w:rPr>
          <w:rFonts w:ascii="Tahoma" w:hAnsi="Tahoma" w:cs="Tahoma"/>
        </w:rPr>
        <w:sym w:font="Wingdings" w:char="F0E0"/>
      </w:r>
      <w:r>
        <w:rPr>
          <w:rFonts w:ascii="Tahoma" w:hAnsi="Tahoma" w:cs="Tahoma"/>
        </w:rPr>
        <w:t xml:space="preserve"> Có thể làm phiếu trực tiếp: Điều chuyển tiền, Điều chuyển kho,…</w:t>
      </w:r>
    </w:p>
    <w:p w:rsidR="00FE3398" w:rsidRDefault="00FE3398" w:rsidP="00FE3398">
      <w:pPr>
        <w:pStyle w:val="ListParagraph"/>
        <w:numPr>
          <w:ilvl w:val="1"/>
          <w:numId w:val="1"/>
        </w:numPr>
        <w:spacing w:line="360" w:lineRule="auto"/>
        <w:ind w:left="720"/>
        <w:jc w:val="both"/>
        <w:rPr>
          <w:rFonts w:ascii="Tahoma" w:hAnsi="Tahoma" w:cs="Tahoma"/>
        </w:rPr>
      </w:pPr>
      <w:r>
        <w:rPr>
          <w:rFonts w:ascii="Tahoma" w:hAnsi="Tahoma" w:cs="Tahoma"/>
        </w:rPr>
        <w:t>Kỳ kế toán</w:t>
      </w:r>
    </w:p>
    <w:p w:rsidR="00FE3398" w:rsidRDefault="00FE3398" w:rsidP="00FE3398">
      <w:pPr>
        <w:pStyle w:val="ListParagraph"/>
        <w:numPr>
          <w:ilvl w:val="2"/>
          <w:numId w:val="1"/>
        </w:numPr>
        <w:spacing w:line="360" w:lineRule="auto"/>
        <w:ind w:left="1440"/>
        <w:jc w:val="both"/>
        <w:rPr>
          <w:rFonts w:ascii="Tahoma" w:hAnsi="Tahoma" w:cs="Tahoma"/>
        </w:rPr>
      </w:pPr>
      <w:r>
        <w:rPr>
          <w:rFonts w:ascii="Tahoma" w:hAnsi="Tahoma" w:cs="Tahoma"/>
        </w:rPr>
        <w:t>Kỳ nhập số dư: Là kỳ kế toán trước kỳ nhập dữ liệu phát sinh đầu tiên.</w:t>
      </w:r>
    </w:p>
    <w:p w:rsidR="00FE3398" w:rsidRDefault="00FE3398" w:rsidP="00FE3398">
      <w:pPr>
        <w:pStyle w:val="ListParagraph"/>
        <w:numPr>
          <w:ilvl w:val="2"/>
          <w:numId w:val="1"/>
        </w:numPr>
        <w:spacing w:line="360" w:lineRule="auto"/>
        <w:ind w:left="1440"/>
        <w:jc w:val="both"/>
        <w:rPr>
          <w:rFonts w:ascii="Tahoma" w:hAnsi="Tahoma" w:cs="Tahoma"/>
        </w:rPr>
      </w:pPr>
      <w:r>
        <w:rPr>
          <w:rFonts w:ascii="Tahoma" w:hAnsi="Tahoma" w:cs="Tahoma"/>
        </w:rPr>
        <w:t>Kỳ hiện hành: Là kỳ đang nhập dữ liệu, định kỳ, sau khi hoàn thành dữ liệu, người sử dụng tự chuyển Kỳ hiện hành sang kỳ kế tiếp.</w:t>
      </w:r>
    </w:p>
    <w:p w:rsidR="00FE3398" w:rsidRDefault="00FE3398" w:rsidP="00FE3398">
      <w:pPr>
        <w:pStyle w:val="ListParagraph"/>
        <w:numPr>
          <w:ilvl w:val="2"/>
          <w:numId w:val="1"/>
        </w:numPr>
        <w:spacing w:line="360" w:lineRule="auto"/>
        <w:ind w:left="1440"/>
        <w:jc w:val="both"/>
        <w:rPr>
          <w:rFonts w:ascii="Tahoma" w:hAnsi="Tahoma" w:cs="Tahoma"/>
        </w:rPr>
      </w:pPr>
      <w:r>
        <w:rPr>
          <w:rFonts w:ascii="Tahoma" w:hAnsi="Tahoma" w:cs="Tahoma"/>
        </w:rPr>
        <w:t>Kỳ mở sổ - đóng sổ: Khoảng thời gian được nhập/xóa dữ liệu.</w:t>
      </w:r>
    </w:p>
    <w:p w:rsidR="00FE3B98" w:rsidRPr="00056F8B" w:rsidRDefault="00B83F01" w:rsidP="00FE3B98">
      <w:pPr>
        <w:pStyle w:val="ListParagraph"/>
        <w:numPr>
          <w:ilvl w:val="1"/>
          <w:numId w:val="1"/>
        </w:numPr>
        <w:spacing w:line="360" w:lineRule="auto"/>
        <w:ind w:left="720"/>
        <w:jc w:val="both"/>
        <w:rPr>
          <w:rFonts w:ascii="Tahoma" w:hAnsi="Tahoma" w:cs="Tahoma"/>
        </w:rPr>
      </w:pPr>
      <w:r>
        <w:rPr>
          <w:rFonts w:ascii="Tahoma" w:hAnsi="Tahoma" w:cs="Tahoma"/>
        </w:rPr>
        <w:t>Một số quy định khác: Thường được thiết lập sẵn khi chuyển giao phần mềm. Người sử dụng không nên thay đổi những thông số này.</w:t>
      </w:r>
    </w:p>
    <w:p w:rsidR="002F2E97" w:rsidRDefault="002F2E97" w:rsidP="00A02D50">
      <w:pPr>
        <w:pStyle w:val="ListParagraph"/>
        <w:numPr>
          <w:ilvl w:val="0"/>
          <w:numId w:val="1"/>
        </w:numPr>
        <w:spacing w:line="360" w:lineRule="auto"/>
        <w:ind w:left="360"/>
        <w:jc w:val="both"/>
        <w:rPr>
          <w:rFonts w:ascii="Tahoma" w:hAnsi="Tahoma" w:cs="Tahoma"/>
          <w:b/>
          <w:color w:val="365F91" w:themeColor="accent1" w:themeShade="BF"/>
        </w:rPr>
      </w:pPr>
      <w:r w:rsidRPr="002F2E97">
        <w:rPr>
          <w:rFonts w:ascii="Tahoma" w:hAnsi="Tahoma" w:cs="Tahoma"/>
          <w:b/>
          <w:color w:val="365F91" w:themeColor="accent1" w:themeShade="BF"/>
        </w:rPr>
        <w:t>Mẹo (Tips)</w:t>
      </w:r>
    </w:p>
    <w:p w:rsidR="00B83F01" w:rsidRPr="00B83F01" w:rsidRDefault="00B83F01" w:rsidP="00B83F01">
      <w:pPr>
        <w:pStyle w:val="ListParagraph"/>
        <w:numPr>
          <w:ilvl w:val="1"/>
          <w:numId w:val="1"/>
        </w:numPr>
        <w:spacing w:line="360" w:lineRule="auto"/>
        <w:ind w:left="720"/>
        <w:jc w:val="both"/>
        <w:rPr>
          <w:rFonts w:ascii="Tahoma" w:hAnsi="Tahoma" w:cs="Tahoma"/>
        </w:rPr>
      </w:pPr>
      <w:r w:rsidRPr="00B83F01">
        <w:rPr>
          <w:rFonts w:ascii="Tahoma" w:hAnsi="Tahoma" w:cs="Tahoma"/>
        </w:rPr>
        <w:t>Một số thông số bị khóa, là do những thông số này có độ ảnh hưởng lớn nếu thay đổi. Do đó, những thông số bị khóa này chỉ được thay đổi bởi bên triển khai phần mềm.</w:t>
      </w:r>
    </w:p>
    <w:p w:rsidR="009473ED" w:rsidRDefault="009473ED">
      <w:pPr>
        <w:rPr>
          <w:rFonts w:ascii="Tahoma" w:hAnsi="Tahoma" w:cs="Tahoma"/>
          <w:b/>
          <w:color w:val="365F91" w:themeColor="accent1" w:themeShade="BF"/>
        </w:rPr>
      </w:pPr>
      <w:r>
        <w:rPr>
          <w:rFonts w:ascii="Tahoma" w:hAnsi="Tahoma" w:cs="Tahoma"/>
          <w:b/>
          <w:color w:val="365F91" w:themeColor="accent1" w:themeShade="BF"/>
        </w:rPr>
        <w:br w:type="page"/>
      </w:r>
    </w:p>
    <w:p w:rsidR="00E15BEF" w:rsidRPr="00A02D50" w:rsidRDefault="00E15BEF" w:rsidP="00A02D50">
      <w:pPr>
        <w:pStyle w:val="ListParagraph"/>
        <w:numPr>
          <w:ilvl w:val="0"/>
          <w:numId w:val="1"/>
        </w:numPr>
        <w:spacing w:line="360" w:lineRule="auto"/>
        <w:ind w:left="360"/>
        <w:jc w:val="both"/>
        <w:rPr>
          <w:rFonts w:ascii="Tahoma" w:hAnsi="Tahoma" w:cs="Tahoma"/>
        </w:rPr>
      </w:pPr>
      <w:r w:rsidRPr="00A02D50">
        <w:rPr>
          <w:rFonts w:ascii="Tahoma" w:hAnsi="Tahoma" w:cs="Tahoma"/>
          <w:b/>
          <w:color w:val="365F91" w:themeColor="accent1" w:themeShade="BF"/>
        </w:rPr>
        <w:lastRenderedPageBreak/>
        <w:t>Hình chụp</w:t>
      </w:r>
    </w:p>
    <w:p w:rsidR="00A02D50" w:rsidRDefault="00B518F4" w:rsidP="00A02D50">
      <w:pPr>
        <w:spacing w:line="360" w:lineRule="auto"/>
        <w:jc w:val="both"/>
        <w:rPr>
          <w:rFonts w:ascii="Tahoma" w:hAnsi="Tahoma" w:cs="Tahoma"/>
        </w:rPr>
      </w:pPr>
      <w:r>
        <w:rPr>
          <w:rFonts w:ascii="Tahoma" w:hAnsi="Tahoma" w:cs="Tahoma"/>
          <w:noProof/>
        </w:rPr>
        <w:drawing>
          <wp:inline distT="0" distB="0" distL="0" distR="0">
            <wp:extent cx="4914900" cy="34480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914900" cy="3448050"/>
                    </a:xfrm>
                    <a:prstGeom prst="rect">
                      <a:avLst/>
                    </a:prstGeom>
                    <a:noFill/>
                    <a:ln w="9525">
                      <a:noFill/>
                      <a:miter lim="800000"/>
                      <a:headEnd/>
                      <a:tailEnd/>
                    </a:ln>
                  </pic:spPr>
                </pic:pic>
              </a:graphicData>
            </a:graphic>
          </wp:inline>
        </w:drawing>
      </w:r>
    </w:p>
    <w:p w:rsidR="00B518F4" w:rsidRDefault="00B518F4" w:rsidP="00A02D50">
      <w:pPr>
        <w:spacing w:line="360" w:lineRule="auto"/>
        <w:jc w:val="both"/>
        <w:rPr>
          <w:rFonts w:ascii="Tahoma" w:hAnsi="Tahoma" w:cs="Tahoma"/>
        </w:rPr>
      </w:pPr>
      <w:r>
        <w:rPr>
          <w:rFonts w:ascii="Tahoma" w:hAnsi="Tahoma" w:cs="Tahoma"/>
          <w:noProof/>
        </w:rPr>
        <w:drawing>
          <wp:inline distT="0" distB="0" distL="0" distR="0">
            <wp:extent cx="4914900" cy="34671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4914900" cy="3467100"/>
                    </a:xfrm>
                    <a:prstGeom prst="rect">
                      <a:avLst/>
                    </a:prstGeom>
                    <a:noFill/>
                    <a:ln w="9525">
                      <a:noFill/>
                      <a:miter lim="800000"/>
                      <a:headEnd/>
                      <a:tailEnd/>
                    </a:ln>
                  </pic:spPr>
                </pic:pic>
              </a:graphicData>
            </a:graphic>
          </wp:inline>
        </w:drawing>
      </w:r>
    </w:p>
    <w:sectPr w:rsidR="00B518F4" w:rsidSect="00313658">
      <w:pgSz w:w="12240" w:h="15840"/>
      <w:pgMar w:top="90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21752"/>
    <w:multiLevelType w:val="hybridMultilevel"/>
    <w:tmpl w:val="9D401940"/>
    <w:lvl w:ilvl="0" w:tplc="4664BB28">
      <w:numFmt w:val="bullet"/>
      <w:lvlText w:val=""/>
      <w:lvlJc w:val="left"/>
      <w:pPr>
        <w:ind w:left="1440" w:hanging="360"/>
      </w:pPr>
      <w:rPr>
        <w:rFonts w:ascii="Wingdings" w:eastAsiaTheme="minorHAnsi" w:hAnsi="Wingdings"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B916238"/>
    <w:multiLevelType w:val="hybridMultilevel"/>
    <w:tmpl w:val="B262DA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75954B6"/>
    <w:multiLevelType w:val="hybridMultilevel"/>
    <w:tmpl w:val="C36E0FF2"/>
    <w:lvl w:ilvl="0" w:tplc="0409000B">
      <w:start w:val="1"/>
      <w:numFmt w:val="bullet"/>
      <w:lvlText w:val=""/>
      <w:lvlJc w:val="left"/>
      <w:pPr>
        <w:ind w:left="720" w:hanging="360"/>
      </w:pPr>
      <w:rPr>
        <w:rFonts w:ascii="Wingdings" w:hAnsi="Wingdings" w:hint="default"/>
      </w:rPr>
    </w:lvl>
    <w:lvl w:ilvl="1" w:tplc="09705064">
      <w:start w:val="1"/>
      <w:numFmt w:val="bullet"/>
      <w:lvlText w:val=""/>
      <w:lvlJc w:val="left"/>
      <w:pPr>
        <w:ind w:left="1440" w:hanging="360"/>
      </w:pPr>
      <w:rPr>
        <w:rFonts w:ascii="Wingdings" w:hAnsi="Wingdings" w:hint="default"/>
        <w:color w:val="auto"/>
      </w:rPr>
    </w:lvl>
    <w:lvl w:ilvl="2" w:tplc="0409000D">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E73CEB"/>
    <w:multiLevelType w:val="hybridMultilevel"/>
    <w:tmpl w:val="9AB6E3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01DF"/>
    <w:rsid w:val="0004450E"/>
    <w:rsid w:val="00056F8B"/>
    <w:rsid w:val="00087409"/>
    <w:rsid w:val="000C2198"/>
    <w:rsid w:val="000E2B96"/>
    <w:rsid w:val="000E6A1F"/>
    <w:rsid w:val="000F57BA"/>
    <w:rsid w:val="00107174"/>
    <w:rsid w:val="00110FD7"/>
    <w:rsid w:val="00147DC3"/>
    <w:rsid w:val="00154151"/>
    <w:rsid w:val="00172166"/>
    <w:rsid w:val="00181FB1"/>
    <w:rsid w:val="001E3309"/>
    <w:rsid w:val="001E6850"/>
    <w:rsid w:val="001F2E72"/>
    <w:rsid w:val="00251702"/>
    <w:rsid w:val="0029327D"/>
    <w:rsid w:val="002B596F"/>
    <w:rsid w:val="002E1349"/>
    <w:rsid w:val="002F2E97"/>
    <w:rsid w:val="0030655E"/>
    <w:rsid w:val="00311142"/>
    <w:rsid w:val="00313658"/>
    <w:rsid w:val="00353E8D"/>
    <w:rsid w:val="00384E1D"/>
    <w:rsid w:val="003B1EB7"/>
    <w:rsid w:val="003B571C"/>
    <w:rsid w:val="003C419F"/>
    <w:rsid w:val="003D3AC2"/>
    <w:rsid w:val="00412ECF"/>
    <w:rsid w:val="0042070E"/>
    <w:rsid w:val="004367B4"/>
    <w:rsid w:val="004B4182"/>
    <w:rsid w:val="004D51F0"/>
    <w:rsid w:val="00500DFD"/>
    <w:rsid w:val="00505DC6"/>
    <w:rsid w:val="0051368C"/>
    <w:rsid w:val="005139C1"/>
    <w:rsid w:val="005969D4"/>
    <w:rsid w:val="005C3563"/>
    <w:rsid w:val="005D574D"/>
    <w:rsid w:val="00607FC2"/>
    <w:rsid w:val="00613F3E"/>
    <w:rsid w:val="00641133"/>
    <w:rsid w:val="00651863"/>
    <w:rsid w:val="006734FE"/>
    <w:rsid w:val="0067520E"/>
    <w:rsid w:val="0068568A"/>
    <w:rsid w:val="0069645B"/>
    <w:rsid w:val="006B3743"/>
    <w:rsid w:val="006D01AA"/>
    <w:rsid w:val="00706BCA"/>
    <w:rsid w:val="00745BC1"/>
    <w:rsid w:val="007537C8"/>
    <w:rsid w:val="007601DF"/>
    <w:rsid w:val="007D3C63"/>
    <w:rsid w:val="007F4632"/>
    <w:rsid w:val="00801F08"/>
    <w:rsid w:val="00817E81"/>
    <w:rsid w:val="00884CFE"/>
    <w:rsid w:val="008A4B18"/>
    <w:rsid w:val="008C5C70"/>
    <w:rsid w:val="0090694D"/>
    <w:rsid w:val="0090740C"/>
    <w:rsid w:val="00930B7E"/>
    <w:rsid w:val="0094355E"/>
    <w:rsid w:val="009473ED"/>
    <w:rsid w:val="00965A6D"/>
    <w:rsid w:val="00982310"/>
    <w:rsid w:val="00994C20"/>
    <w:rsid w:val="009A5D71"/>
    <w:rsid w:val="009C3D04"/>
    <w:rsid w:val="009C721D"/>
    <w:rsid w:val="009D2C61"/>
    <w:rsid w:val="009D7F92"/>
    <w:rsid w:val="009F2500"/>
    <w:rsid w:val="00A02D50"/>
    <w:rsid w:val="00A13758"/>
    <w:rsid w:val="00A9779F"/>
    <w:rsid w:val="00AD23F6"/>
    <w:rsid w:val="00AE2DF9"/>
    <w:rsid w:val="00B35C0B"/>
    <w:rsid w:val="00B47569"/>
    <w:rsid w:val="00B518F4"/>
    <w:rsid w:val="00B83F01"/>
    <w:rsid w:val="00B865A6"/>
    <w:rsid w:val="00BC470D"/>
    <w:rsid w:val="00BE03B1"/>
    <w:rsid w:val="00C201DE"/>
    <w:rsid w:val="00C33407"/>
    <w:rsid w:val="00C40B87"/>
    <w:rsid w:val="00C605CE"/>
    <w:rsid w:val="00C75F96"/>
    <w:rsid w:val="00C8137D"/>
    <w:rsid w:val="00C85C5D"/>
    <w:rsid w:val="00C86730"/>
    <w:rsid w:val="00C9355E"/>
    <w:rsid w:val="00CA1CE8"/>
    <w:rsid w:val="00CA4B20"/>
    <w:rsid w:val="00D13861"/>
    <w:rsid w:val="00D2117B"/>
    <w:rsid w:val="00D31167"/>
    <w:rsid w:val="00D324D0"/>
    <w:rsid w:val="00D3779E"/>
    <w:rsid w:val="00D50DF8"/>
    <w:rsid w:val="00D8164B"/>
    <w:rsid w:val="00D874C8"/>
    <w:rsid w:val="00DE0F8E"/>
    <w:rsid w:val="00DF6816"/>
    <w:rsid w:val="00E15BEF"/>
    <w:rsid w:val="00E26DF9"/>
    <w:rsid w:val="00E5428C"/>
    <w:rsid w:val="00E90B58"/>
    <w:rsid w:val="00E9623D"/>
    <w:rsid w:val="00EB1113"/>
    <w:rsid w:val="00EE59EC"/>
    <w:rsid w:val="00F05F62"/>
    <w:rsid w:val="00F101E0"/>
    <w:rsid w:val="00F1582D"/>
    <w:rsid w:val="00F276D2"/>
    <w:rsid w:val="00F61A0E"/>
    <w:rsid w:val="00F61A7A"/>
    <w:rsid w:val="00F6655B"/>
    <w:rsid w:val="00F6760B"/>
    <w:rsid w:val="00F776BD"/>
    <w:rsid w:val="00F842E6"/>
    <w:rsid w:val="00FC06C2"/>
    <w:rsid w:val="00FC6951"/>
    <w:rsid w:val="00FC75D1"/>
    <w:rsid w:val="00FE3398"/>
    <w:rsid w:val="00FE3B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1DF"/>
    <w:pPr>
      <w:ind w:left="720"/>
      <w:contextualSpacing/>
    </w:pPr>
  </w:style>
  <w:style w:type="paragraph" w:styleId="BalloonText">
    <w:name w:val="Balloon Text"/>
    <w:basedOn w:val="Normal"/>
    <w:link w:val="BalloonTextChar"/>
    <w:uiPriority w:val="99"/>
    <w:semiHidden/>
    <w:unhideWhenUsed/>
    <w:rsid w:val="00760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1DF"/>
    <w:rPr>
      <w:rFonts w:ascii="Tahoma" w:hAnsi="Tahoma" w:cs="Tahoma"/>
      <w:sz w:val="16"/>
      <w:szCs w:val="16"/>
    </w:rPr>
  </w:style>
  <w:style w:type="character" w:styleId="Hyperlink">
    <w:name w:val="Hyperlink"/>
    <w:basedOn w:val="DefaultParagraphFont"/>
    <w:uiPriority w:val="99"/>
    <w:unhideWhenUsed/>
    <w:rsid w:val="008A4B18"/>
    <w:rPr>
      <w:color w:val="0000FF" w:themeColor="hyperlink"/>
      <w:u w:val="single"/>
    </w:rPr>
  </w:style>
  <w:style w:type="character" w:styleId="FollowedHyperlink">
    <w:name w:val="FollowedHyperlink"/>
    <w:basedOn w:val="DefaultParagraphFont"/>
    <w:uiPriority w:val="99"/>
    <w:semiHidden/>
    <w:unhideWhenUsed/>
    <w:rsid w:val="00801F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2</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115</cp:revision>
  <dcterms:created xsi:type="dcterms:W3CDTF">2014-06-17T03:58:00Z</dcterms:created>
  <dcterms:modified xsi:type="dcterms:W3CDTF">2014-06-22T16:31:00Z</dcterms:modified>
</cp:coreProperties>
</file>